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39A" w:rsidRPr="0070644F" w:rsidRDefault="0077639A" w:rsidP="0077639A">
      <w:pPr>
        <w:pStyle w:val="Titulo1"/>
        <w:rPr>
          <w:rFonts w:cs="Times New Roman"/>
        </w:rPr>
      </w:pPr>
      <w:bookmarkStart w:id="0" w:name="_GoBack"/>
      <w:r w:rsidRPr="0070644F">
        <w:rPr>
          <w:rFonts w:cs="Times New Roman"/>
          <w:szCs w:val="20"/>
        </w:rPr>
        <w:t>DECLARATORIA de vigencia de la Norma Mexicana NMX-C-111-ONNCCE-2018</w:t>
      </w:r>
      <w:r w:rsidRPr="0070644F">
        <w:rPr>
          <w:rFonts w:cs="Times New Roman"/>
        </w:rPr>
        <w:t>.</w:t>
      </w:r>
    </w:p>
    <w:bookmarkEnd w:id="0"/>
    <w:p w:rsidR="0077639A" w:rsidRPr="0070644F" w:rsidRDefault="0077639A" w:rsidP="0077639A">
      <w:pPr>
        <w:pStyle w:val="Titulo2"/>
        <w:rPr>
          <w:szCs w:val="16"/>
        </w:rPr>
      </w:pPr>
      <w:r w:rsidRPr="0070644F">
        <w:t xml:space="preserve">Al margen un sello con el Escudo Nacional, que dice: Estados Unidos </w:t>
      </w:r>
      <w:proofErr w:type="gramStart"/>
      <w:r w:rsidRPr="0070644F">
        <w:t>Mexicanos.-</w:t>
      </w:r>
      <w:proofErr w:type="gramEnd"/>
      <w:r w:rsidRPr="0070644F">
        <w:t xml:space="preserve"> Secretaría de Economía.- Subsecretaría de Competitividad y Normatividad.- </w:t>
      </w:r>
      <w:r w:rsidRPr="0070644F">
        <w:rPr>
          <w:szCs w:val="16"/>
        </w:rPr>
        <w:t>Dirección General de Normas.</w:t>
      </w:r>
    </w:p>
    <w:p w:rsidR="0077639A" w:rsidRPr="008851CE" w:rsidRDefault="0077639A" w:rsidP="0077639A">
      <w:pPr>
        <w:pStyle w:val="texto"/>
        <w:spacing w:after="40" w:line="200" w:lineRule="exact"/>
        <w:rPr>
          <w:sz w:val="16"/>
          <w:szCs w:val="16"/>
        </w:rPr>
      </w:pPr>
      <w:r w:rsidRPr="008851CE">
        <w:rPr>
          <w:sz w:val="16"/>
          <w:szCs w:val="16"/>
        </w:rPr>
        <w:t xml:space="preserve">DECLARATORIA DE VIGENCIA DE LA NORMA MEXICANA NMX-C-111-ONNCCE-2018, </w:t>
      </w:r>
      <w:r>
        <w:rPr>
          <w:sz w:val="16"/>
          <w:szCs w:val="16"/>
        </w:rPr>
        <w:t>INDUSTRIA DE LA CONSTRUCCIÓN-</w:t>
      </w:r>
      <w:r w:rsidRPr="008851CE">
        <w:rPr>
          <w:sz w:val="16"/>
          <w:szCs w:val="16"/>
        </w:rPr>
        <w:t>AGREG</w:t>
      </w:r>
      <w:r>
        <w:rPr>
          <w:sz w:val="16"/>
          <w:szCs w:val="16"/>
        </w:rPr>
        <w:t>ADOS PARA CONCRETO HIDRÁULICO-</w:t>
      </w:r>
      <w:r w:rsidRPr="008851CE">
        <w:rPr>
          <w:sz w:val="16"/>
          <w:szCs w:val="16"/>
        </w:rPr>
        <w:t>ESPECIFICACIONES Y MÉTODOS DE ENSAYO (CANCELA A LA NMX-C-111-ONNCCE-2014).</w:t>
      </w:r>
    </w:p>
    <w:p w:rsidR="0077639A" w:rsidRPr="005E1944" w:rsidRDefault="0077639A" w:rsidP="0077639A">
      <w:pPr>
        <w:pStyle w:val="texto"/>
        <w:spacing w:after="40" w:line="200" w:lineRule="exact"/>
        <w:rPr>
          <w:szCs w:val="20"/>
        </w:rPr>
      </w:pPr>
      <w:r w:rsidRPr="005E1944">
        <w:rPr>
          <w:szCs w:val="20"/>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w:t>
      </w:r>
      <w:r>
        <w:rPr>
          <w:szCs w:val="20"/>
        </w:rPr>
        <w:t xml:space="preserve"> </w:t>
      </w:r>
      <w:r w:rsidRPr="005E1944">
        <w:rPr>
          <w:szCs w:val="20"/>
        </w:rPr>
        <w:t>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“Organismo Nacional de Normalización y Certificación de la Construcción y Edificación, S.C.”</w:t>
      </w:r>
      <w:r>
        <w:rPr>
          <w:szCs w:val="20"/>
        </w:rPr>
        <w:t>.</w:t>
      </w:r>
      <w:r w:rsidRPr="005E1944">
        <w:rPr>
          <w:szCs w:val="20"/>
        </w:rPr>
        <w:t xml:space="preserve"> El texto completo de la Norma que se indica puede ser adquirido en la sede de dicho Organismo ubicado en calle Ceres número 7, colonia Crédito Constructor, código postal 03940, Ciudad de México, teléfono: 5663 2950 y/o al correo electrónico: normas@onncce.org.mx, o consultarlo gratuitamente en la Dirección General de Normas de esta Secretaría, ubicada en Puente de Tecamachalco número 6, colonia Lomas de Tecamachalco, Sección Fuentes, Naucalpan de Juárez, código postal 53950, Estado de México.</w:t>
      </w:r>
    </w:p>
    <w:p w:rsidR="0077639A" w:rsidRPr="005E1944" w:rsidRDefault="0077639A" w:rsidP="0077639A">
      <w:pPr>
        <w:pStyle w:val="texto"/>
        <w:spacing w:after="40" w:line="200" w:lineRule="exact"/>
        <w:rPr>
          <w:szCs w:val="20"/>
        </w:rPr>
      </w:pPr>
      <w:r w:rsidRPr="005E1944">
        <w:rPr>
          <w:szCs w:val="20"/>
        </w:rPr>
        <w:t>La presente Norma Mexicana NMX-C-111-ONNCCE-2018 entrará en vigor 60 días naturales contados a partir del día natural inmediato siguiente de la publicación de esta Declaratoria de Vigencia en el Diario Oficial de la Federación. SINEC-20180213171412822</w:t>
      </w:r>
      <w:r>
        <w:rPr>
          <w:szCs w:val="20"/>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5"/>
        <w:gridCol w:w="5537"/>
      </w:tblGrid>
      <w:tr w:rsidR="0077639A" w:rsidRPr="005E1944" w:rsidTr="0066381C">
        <w:tblPrEx>
          <w:tblCellMar>
            <w:top w:w="0" w:type="dxa"/>
            <w:bottom w:w="0" w:type="dxa"/>
          </w:tblCellMar>
        </w:tblPrEx>
        <w:trPr>
          <w:trHeight w:val="20"/>
          <w:jc w:val="center"/>
        </w:trPr>
        <w:tc>
          <w:tcPr>
            <w:tcW w:w="3175" w:type="dxa"/>
            <w:shd w:val="pct10" w:color="auto" w:fill="auto"/>
            <w:noWrap/>
            <w:vAlign w:val="center"/>
          </w:tcPr>
          <w:p w:rsidR="0077639A" w:rsidRPr="005E1944" w:rsidRDefault="0077639A" w:rsidP="0066381C">
            <w:pPr>
              <w:pStyle w:val="texto"/>
              <w:spacing w:before="20" w:after="20" w:line="192" w:lineRule="exact"/>
              <w:ind w:firstLine="0"/>
              <w:jc w:val="center"/>
              <w:rPr>
                <w:b/>
                <w:szCs w:val="20"/>
              </w:rPr>
            </w:pPr>
            <w:r w:rsidRPr="005E1944">
              <w:rPr>
                <w:b/>
                <w:szCs w:val="20"/>
              </w:rPr>
              <w:t>CLAVE O CÓDIGO</w:t>
            </w:r>
          </w:p>
        </w:tc>
        <w:tc>
          <w:tcPr>
            <w:tcW w:w="5537" w:type="dxa"/>
            <w:shd w:val="pct10" w:color="auto" w:fill="auto"/>
            <w:vAlign w:val="center"/>
          </w:tcPr>
          <w:p w:rsidR="0077639A" w:rsidRPr="005E1944" w:rsidRDefault="0077639A" w:rsidP="0066381C">
            <w:pPr>
              <w:pStyle w:val="texto"/>
              <w:spacing w:before="20" w:after="20" w:line="192" w:lineRule="exact"/>
              <w:ind w:firstLine="0"/>
              <w:jc w:val="center"/>
              <w:rPr>
                <w:b/>
                <w:szCs w:val="20"/>
              </w:rPr>
            </w:pPr>
            <w:r w:rsidRPr="005E1944">
              <w:rPr>
                <w:b/>
                <w:szCs w:val="20"/>
              </w:rPr>
              <w:t>TÍTULO DE LA NORMA MEXICANA</w:t>
            </w:r>
          </w:p>
        </w:tc>
      </w:tr>
      <w:tr w:rsidR="0077639A" w:rsidRPr="005E1944" w:rsidTr="0066381C">
        <w:tblPrEx>
          <w:tblCellMar>
            <w:top w:w="0" w:type="dxa"/>
            <w:bottom w:w="0" w:type="dxa"/>
          </w:tblCellMar>
        </w:tblPrEx>
        <w:trPr>
          <w:trHeight w:val="20"/>
          <w:jc w:val="center"/>
        </w:trPr>
        <w:tc>
          <w:tcPr>
            <w:tcW w:w="3175" w:type="dxa"/>
            <w:vAlign w:val="center"/>
          </w:tcPr>
          <w:p w:rsidR="0077639A" w:rsidRPr="005E1944" w:rsidRDefault="0077639A" w:rsidP="0066381C">
            <w:pPr>
              <w:pStyle w:val="texto"/>
              <w:spacing w:before="20" w:after="20" w:line="192" w:lineRule="exact"/>
              <w:ind w:firstLine="0"/>
              <w:jc w:val="center"/>
              <w:rPr>
                <w:b/>
                <w:szCs w:val="20"/>
              </w:rPr>
            </w:pPr>
            <w:r w:rsidRPr="0056693D">
              <w:rPr>
                <w:b/>
                <w:sz w:val="16"/>
                <w:szCs w:val="20"/>
              </w:rPr>
              <w:t>NMX-C-111-ONNCCE-2018</w:t>
            </w:r>
          </w:p>
        </w:tc>
        <w:tc>
          <w:tcPr>
            <w:tcW w:w="5537" w:type="dxa"/>
            <w:vAlign w:val="center"/>
          </w:tcPr>
          <w:p w:rsidR="0077639A" w:rsidRPr="005E1944" w:rsidRDefault="0077639A" w:rsidP="0066381C">
            <w:pPr>
              <w:pStyle w:val="texto"/>
              <w:spacing w:before="20" w:after="20" w:line="192" w:lineRule="exact"/>
              <w:ind w:firstLine="0"/>
              <w:rPr>
                <w:szCs w:val="20"/>
              </w:rPr>
            </w:pPr>
            <w:r>
              <w:rPr>
                <w:szCs w:val="20"/>
              </w:rPr>
              <w:t>Industria de la Construcción-</w:t>
            </w:r>
            <w:r w:rsidRPr="005E1944">
              <w:rPr>
                <w:szCs w:val="20"/>
              </w:rPr>
              <w:t>Agregados para concreto</w:t>
            </w:r>
            <w:r>
              <w:rPr>
                <w:szCs w:val="20"/>
              </w:rPr>
              <w:t xml:space="preserve"> </w:t>
            </w:r>
            <w:r w:rsidRPr="005E1944">
              <w:rPr>
                <w:szCs w:val="20"/>
              </w:rPr>
              <w:t>hidráulico</w:t>
            </w:r>
            <w:r>
              <w:rPr>
                <w:szCs w:val="20"/>
              </w:rPr>
              <w:t>-</w:t>
            </w:r>
            <w:r w:rsidRPr="005E1944">
              <w:rPr>
                <w:szCs w:val="20"/>
              </w:rPr>
              <w:t>Especificaciones y métodos de ensayo (Cancela a la</w:t>
            </w:r>
            <w:r>
              <w:rPr>
                <w:szCs w:val="20"/>
              </w:rPr>
              <w:t xml:space="preserve"> </w:t>
            </w:r>
            <w:r w:rsidRPr="005E1944">
              <w:rPr>
                <w:szCs w:val="20"/>
              </w:rPr>
              <w:t>NMX-C-111-ONNCCE-2014).</w:t>
            </w:r>
          </w:p>
        </w:tc>
      </w:tr>
      <w:tr w:rsidR="0077639A" w:rsidRPr="005E1944" w:rsidTr="0066381C">
        <w:tblPrEx>
          <w:tblCellMar>
            <w:top w:w="0" w:type="dxa"/>
            <w:bottom w:w="0" w:type="dxa"/>
          </w:tblCellMar>
        </w:tblPrEx>
        <w:trPr>
          <w:trHeight w:val="20"/>
          <w:jc w:val="center"/>
        </w:trPr>
        <w:tc>
          <w:tcPr>
            <w:tcW w:w="8712" w:type="dxa"/>
            <w:gridSpan w:val="2"/>
            <w:vAlign w:val="center"/>
          </w:tcPr>
          <w:p w:rsidR="0077639A" w:rsidRPr="005E1944" w:rsidRDefault="0077639A" w:rsidP="0066381C">
            <w:pPr>
              <w:pStyle w:val="texto"/>
              <w:spacing w:before="20" w:after="20" w:line="192" w:lineRule="exact"/>
              <w:ind w:firstLine="0"/>
              <w:jc w:val="center"/>
              <w:rPr>
                <w:b/>
                <w:szCs w:val="20"/>
              </w:rPr>
            </w:pPr>
            <w:r w:rsidRPr="005E1944">
              <w:rPr>
                <w:b/>
                <w:szCs w:val="20"/>
              </w:rPr>
              <w:t>Objetivo y campo de aplicación</w:t>
            </w:r>
          </w:p>
          <w:p w:rsidR="0077639A" w:rsidRPr="005E1944" w:rsidRDefault="0077639A" w:rsidP="0066381C">
            <w:pPr>
              <w:pStyle w:val="texto"/>
              <w:spacing w:before="20" w:after="20" w:line="192" w:lineRule="exact"/>
              <w:ind w:firstLine="0"/>
              <w:rPr>
                <w:szCs w:val="20"/>
              </w:rPr>
            </w:pPr>
            <w:r w:rsidRPr="005E1944">
              <w:rPr>
                <w:szCs w:val="20"/>
              </w:rPr>
              <w:t>Esta Norma Mexicana establece las especificaciones y métodos de ensayo que deben cumplir los agregados naturales, procesados y mixtos de uso común para la producción de concretos de masa normal.</w:t>
            </w:r>
          </w:p>
          <w:p w:rsidR="0077639A" w:rsidRPr="005E1944" w:rsidRDefault="0077639A" w:rsidP="0066381C">
            <w:pPr>
              <w:pStyle w:val="texto"/>
              <w:spacing w:before="20" w:after="20" w:line="192" w:lineRule="exact"/>
              <w:ind w:firstLine="0"/>
              <w:rPr>
                <w:szCs w:val="22"/>
              </w:rPr>
            </w:pPr>
            <w:r w:rsidRPr="005E1944">
              <w:rPr>
                <w:szCs w:val="20"/>
              </w:rPr>
              <w:t>Esta Norma Mexicana es aplicable a los agregados para concretos de masa unitaria normal (usualmente de 1 900 kg/m3 a 2 400 kg/m3), y de concretos de resistencias alta y normal, elaborados con agregados naturales, procesados y mixtos.</w:t>
            </w:r>
          </w:p>
        </w:tc>
      </w:tr>
      <w:tr w:rsidR="0077639A" w:rsidRPr="005E1944" w:rsidTr="0066381C">
        <w:tblPrEx>
          <w:tblCellMar>
            <w:top w:w="0" w:type="dxa"/>
            <w:bottom w:w="0" w:type="dxa"/>
          </w:tblCellMar>
        </w:tblPrEx>
        <w:trPr>
          <w:trHeight w:val="20"/>
          <w:jc w:val="center"/>
        </w:trPr>
        <w:tc>
          <w:tcPr>
            <w:tcW w:w="8712" w:type="dxa"/>
            <w:gridSpan w:val="2"/>
            <w:vAlign w:val="center"/>
          </w:tcPr>
          <w:p w:rsidR="0077639A" w:rsidRPr="005E1944" w:rsidRDefault="0077639A" w:rsidP="0066381C">
            <w:pPr>
              <w:pStyle w:val="texto"/>
              <w:spacing w:before="20" w:after="20" w:line="192" w:lineRule="exact"/>
              <w:ind w:firstLine="0"/>
              <w:jc w:val="center"/>
              <w:rPr>
                <w:b/>
                <w:szCs w:val="20"/>
              </w:rPr>
            </w:pPr>
            <w:r w:rsidRPr="005E1944">
              <w:rPr>
                <w:b/>
                <w:szCs w:val="20"/>
              </w:rPr>
              <w:t>Concordancia con normas internacionales</w:t>
            </w:r>
          </w:p>
          <w:p w:rsidR="0077639A" w:rsidRPr="005E1944" w:rsidRDefault="0077639A" w:rsidP="0066381C">
            <w:pPr>
              <w:pStyle w:val="texto"/>
              <w:spacing w:before="20" w:after="20" w:line="192" w:lineRule="exact"/>
              <w:ind w:firstLine="0"/>
              <w:rPr>
                <w:b/>
                <w:szCs w:val="20"/>
                <w:lang w:val="es-ES_tradnl"/>
              </w:rPr>
            </w:pPr>
            <w:r w:rsidRPr="005E1944">
              <w:rPr>
                <w:szCs w:val="20"/>
              </w:rPr>
              <w:t>Esta Norma Mexicana no es equivalente (NEQ) con ninguna Norma Internacional, por no existir esta última al momento de su elaboración.</w:t>
            </w:r>
          </w:p>
        </w:tc>
      </w:tr>
      <w:tr w:rsidR="0077639A" w:rsidRPr="005E1944" w:rsidTr="0066381C">
        <w:tblPrEx>
          <w:tblCellMar>
            <w:top w:w="0" w:type="dxa"/>
            <w:bottom w:w="0" w:type="dxa"/>
          </w:tblCellMar>
        </w:tblPrEx>
        <w:trPr>
          <w:trHeight w:val="20"/>
          <w:jc w:val="center"/>
        </w:trPr>
        <w:tc>
          <w:tcPr>
            <w:tcW w:w="8712" w:type="dxa"/>
            <w:gridSpan w:val="2"/>
            <w:vAlign w:val="center"/>
          </w:tcPr>
          <w:p w:rsidR="0077639A" w:rsidRPr="005E1944" w:rsidRDefault="0077639A" w:rsidP="0066381C">
            <w:pPr>
              <w:pStyle w:val="texto"/>
              <w:spacing w:before="20" w:after="20" w:line="192" w:lineRule="exact"/>
              <w:ind w:firstLine="0"/>
              <w:jc w:val="center"/>
              <w:rPr>
                <w:b/>
                <w:szCs w:val="20"/>
                <w:lang w:val="en-US"/>
              </w:rPr>
            </w:pPr>
            <w:proofErr w:type="spellStart"/>
            <w:r w:rsidRPr="005E1944">
              <w:rPr>
                <w:b/>
                <w:szCs w:val="20"/>
                <w:lang w:val="en-US"/>
              </w:rPr>
              <w:t>Bibliografía</w:t>
            </w:r>
            <w:proofErr w:type="spellEnd"/>
          </w:p>
          <w:p w:rsidR="0077639A" w:rsidRPr="005E1944" w:rsidRDefault="0077639A" w:rsidP="0066381C">
            <w:pPr>
              <w:pStyle w:val="texto"/>
              <w:spacing w:before="20" w:after="20" w:line="192" w:lineRule="exact"/>
              <w:ind w:firstLine="0"/>
              <w:rPr>
                <w:lang w:val="en-US"/>
              </w:rPr>
            </w:pPr>
            <w:r>
              <w:rPr>
                <w:lang w:val="en-US"/>
              </w:rPr>
              <w:t>ASTM C33/C33M-</w:t>
            </w:r>
            <w:r w:rsidRPr="005E1944">
              <w:rPr>
                <w:lang w:val="en-US"/>
              </w:rPr>
              <w:t xml:space="preserve">16e1 Standard Specification for Concrete Aggregates, ASTM International, West </w:t>
            </w:r>
            <w:smartTag w:uri="urn:schemas-microsoft-com:office:smarttags" w:element="place">
              <w:smartTag w:uri="urn:schemas-microsoft-com:office:smarttags" w:element="City">
                <w:r w:rsidRPr="005E1944">
                  <w:rPr>
                    <w:lang w:val="en-US"/>
                  </w:rPr>
                  <w:t>Conshohocken</w:t>
                </w:r>
              </w:smartTag>
              <w:r w:rsidRPr="005E1944">
                <w:rPr>
                  <w:lang w:val="en-US"/>
                </w:rPr>
                <w:t xml:space="preserve">, </w:t>
              </w:r>
              <w:smartTag w:uri="urn:schemas-microsoft-com:office:smarttags" w:element="State">
                <w:r w:rsidRPr="005E1944">
                  <w:rPr>
                    <w:lang w:val="en-US"/>
                  </w:rPr>
                  <w:t>PA</w:t>
                </w:r>
              </w:smartTag>
            </w:smartTag>
            <w:r w:rsidRPr="005E1944">
              <w:rPr>
                <w:lang w:val="en-US"/>
              </w:rPr>
              <w:t>, 2016.</w:t>
            </w:r>
          </w:p>
          <w:p w:rsidR="0077639A" w:rsidRPr="005E1944" w:rsidRDefault="0077639A" w:rsidP="0066381C">
            <w:pPr>
              <w:pStyle w:val="texto"/>
              <w:spacing w:before="20" w:after="20" w:line="192" w:lineRule="exact"/>
              <w:ind w:firstLine="0"/>
              <w:rPr>
                <w:lang w:val="en-US"/>
              </w:rPr>
            </w:pPr>
            <w:r>
              <w:rPr>
                <w:lang w:val="en-US"/>
              </w:rPr>
              <w:t>ASTM C1105-</w:t>
            </w:r>
            <w:r w:rsidRPr="005E1944">
              <w:rPr>
                <w:lang w:val="en-US"/>
              </w:rPr>
              <w:t xml:space="preserve">08a (2016) Standard Test Method for Length Change of Concrete Due to Alkali-Carbonate Rock Reaction, ASTM International, </w:t>
            </w:r>
            <w:smartTag w:uri="urn:schemas-microsoft-com:office:smarttags" w:element="place">
              <w:r w:rsidRPr="005E1944">
                <w:rPr>
                  <w:lang w:val="en-US"/>
                </w:rPr>
                <w:t>West Conshohocken</w:t>
              </w:r>
            </w:smartTag>
            <w:r w:rsidRPr="005E1944">
              <w:rPr>
                <w:lang w:val="en-US"/>
              </w:rPr>
              <w:t>, PA, 2016.</w:t>
            </w:r>
          </w:p>
          <w:p w:rsidR="0077639A" w:rsidRPr="005E1944" w:rsidRDefault="0077639A" w:rsidP="0066381C">
            <w:pPr>
              <w:pStyle w:val="texto"/>
              <w:spacing w:before="20" w:after="20" w:line="192" w:lineRule="exact"/>
              <w:ind w:firstLine="0"/>
            </w:pPr>
            <w:r w:rsidRPr="005E1944">
              <w:t>Mena Ferrer Manuel, Durabilidad de Estructuras de Concreto en México, Previsiones y Recomendaciones, Instituto Mexicano del Cemento y del Concreto, A.C., 2005, pp. 18 y 19.</w:t>
            </w:r>
          </w:p>
          <w:p w:rsidR="0077639A" w:rsidRPr="005E1944" w:rsidRDefault="0077639A" w:rsidP="0066381C">
            <w:pPr>
              <w:pStyle w:val="texto"/>
              <w:spacing w:before="20" w:after="20" w:line="192" w:lineRule="exact"/>
              <w:ind w:firstLine="0"/>
            </w:pPr>
            <w:r w:rsidRPr="005E1944">
              <w:t>Tamayo Jorge L., Atlas Geográfico General de México, Instituto Mexicano de Investigaciones Económicas, 2</w:t>
            </w:r>
            <w:r>
              <w:t>a.</w:t>
            </w:r>
            <w:r w:rsidRPr="005E1944">
              <w:t xml:space="preserve"> Edición, México</w:t>
            </w:r>
            <w:r>
              <w:t>,</w:t>
            </w:r>
            <w:r w:rsidRPr="005E1944">
              <w:t xml:space="preserve"> D.F. 1962.</w:t>
            </w:r>
          </w:p>
          <w:p w:rsidR="0077639A" w:rsidRPr="005E1944" w:rsidRDefault="0077639A" w:rsidP="0066381C">
            <w:pPr>
              <w:pStyle w:val="texto"/>
              <w:spacing w:before="20" w:after="20" w:line="192" w:lineRule="exact"/>
              <w:ind w:firstLine="0"/>
            </w:pPr>
            <w:smartTag w:uri="urn:schemas-microsoft-com:office:smarttags" w:element="country-region">
              <w:r w:rsidRPr="005E1944">
                <w:rPr>
                  <w:lang w:val="en-US"/>
                </w:rPr>
                <w:t>United States</w:t>
              </w:r>
            </w:smartTag>
            <w:r w:rsidRPr="005E1944">
              <w:rPr>
                <w:lang w:val="en-US"/>
              </w:rPr>
              <w:t xml:space="preserve">, Concrete manual: a manual for the control of concrete construction, </w:t>
            </w:r>
            <w:proofErr w:type="spellStart"/>
            <w:r w:rsidRPr="005E1944">
              <w:rPr>
                <w:lang w:val="en-US"/>
              </w:rPr>
              <w:t>Edición</w:t>
            </w:r>
            <w:proofErr w:type="spellEnd"/>
            <w:r w:rsidRPr="005E1944">
              <w:rPr>
                <w:lang w:val="en-US"/>
              </w:rPr>
              <w:t xml:space="preserve">: 8th, </w:t>
            </w:r>
            <w:smartTag w:uri="urn:schemas-microsoft-com:office:smarttags" w:element="City">
              <w:r w:rsidRPr="005E1944">
                <w:rPr>
                  <w:lang w:val="en-US"/>
                </w:rPr>
                <w:t>Denver</w:t>
              </w:r>
            </w:smartTag>
            <w:r w:rsidRPr="005E1944">
              <w:rPr>
                <w:lang w:val="en-US"/>
              </w:rPr>
              <w:t xml:space="preserve">: U.S. Dept. of the Interior, Bureau of Reclamation: for sale by the Supt. of Docs., </w:t>
            </w:r>
            <w:smartTag w:uri="urn:schemas-microsoft-com:office:smarttags" w:element="country-region">
              <w:smartTag w:uri="urn:schemas-microsoft-com:office:smarttags" w:element="place">
                <w:r w:rsidRPr="005E1944">
                  <w:rPr>
                    <w:lang w:val="en-US"/>
                  </w:rPr>
                  <w:t>U.S.</w:t>
                </w:r>
              </w:smartTag>
            </w:smartTag>
            <w:r w:rsidRPr="005E1944">
              <w:rPr>
                <w:lang w:val="en-US"/>
              </w:rPr>
              <w:t xml:space="preserve"> Govt. </w:t>
            </w:r>
            <w:proofErr w:type="spellStart"/>
            <w:r w:rsidRPr="005E1944">
              <w:t>Print</w:t>
            </w:r>
            <w:proofErr w:type="spellEnd"/>
            <w:r w:rsidRPr="005E1944">
              <w:t>.</w:t>
            </w:r>
            <w:r>
              <w:t xml:space="preserve"> </w:t>
            </w:r>
            <w:r w:rsidRPr="005E1944">
              <w:t>Off., 1975.</w:t>
            </w:r>
          </w:p>
          <w:p w:rsidR="0077639A" w:rsidRPr="005E1944" w:rsidRDefault="0077639A" w:rsidP="0066381C">
            <w:pPr>
              <w:pStyle w:val="texto"/>
              <w:spacing w:before="20" w:after="20" w:line="192" w:lineRule="exact"/>
              <w:ind w:firstLine="0"/>
            </w:pPr>
            <w:r w:rsidRPr="005E1944">
              <w:t>NMX-C-251-1997-ONNCCE</w:t>
            </w:r>
            <w:r>
              <w:t>,</w:t>
            </w:r>
            <w:r w:rsidRPr="005E1944">
              <w:t xml:space="preserve"> Industria </w:t>
            </w:r>
            <w:r>
              <w:t>de la construcción-Concreto-</w:t>
            </w:r>
            <w:r w:rsidRPr="005E1944">
              <w:t>Terminología, publicado en el Diario Oficial de la Federación el 19 de marzo de 1998.</w:t>
            </w:r>
          </w:p>
          <w:p w:rsidR="0077639A" w:rsidRPr="005E1944" w:rsidRDefault="0077639A" w:rsidP="0066381C">
            <w:pPr>
              <w:pStyle w:val="texto"/>
              <w:spacing w:before="20" w:after="20" w:line="192" w:lineRule="exact"/>
              <w:ind w:firstLine="0"/>
            </w:pPr>
            <w:r w:rsidRPr="005E1944">
              <w:t>NMX-Z-013-SCFI-2015</w:t>
            </w:r>
            <w:r>
              <w:t>,</w:t>
            </w:r>
            <w:r w:rsidRPr="005E1944">
              <w:t xml:space="preserve"> Guía para la estructuración y redacción de normas, fecha de publicación en el Diario Oficial de la Federación el 18 de noviembre de 2015.</w:t>
            </w:r>
          </w:p>
          <w:p w:rsidR="0077639A" w:rsidRPr="005E1944" w:rsidRDefault="0077639A" w:rsidP="0066381C">
            <w:pPr>
              <w:pStyle w:val="texto"/>
              <w:spacing w:before="20" w:after="20" w:line="192" w:lineRule="exact"/>
              <w:ind w:firstLine="0"/>
            </w:pPr>
            <w:r w:rsidRPr="005E1944">
              <w:t>NOM-008-SCFI-2002</w:t>
            </w:r>
            <w:r>
              <w:t>,</w:t>
            </w:r>
            <w:r w:rsidRPr="005E1944">
              <w:t xml:space="preserve"> Sistema General de Unidades de Medida, fecha de publicación en el Diario Oficial de la Federación el 27 de noviembre de 2002.</w:t>
            </w:r>
          </w:p>
          <w:p w:rsidR="0077639A" w:rsidRPr="005E1944" w:rsidRDefault="0077639A" w:rsidP="0066381C">
            <w:pPr>
              <w:pStyle w:val="texto"/>
              <w:spacing w:before="20" w:after="20" w:line="192" w:lineRule="exact"/>
              <w:ind w:firstLine="0"/>
            </w:pPr>
            <w:r w:rsidRPr="005E1944">
              <w:t>Secretaría de Comunicaciones y Transportes, Libro 6. Normas para muestreo y pruebas de materiales, equipos y sistemas, Parte 6.01 Carreteras y Autopistas, T</w:t>
            </w:r>
            <w:r>
              <w:t>í</w:t>
            </w:r>
            <w:r w:rsidRPr="005E1944">
              <w:t>tulo 6.01.01 Terracerías, Capítulo 6.01.01.002. Muestreo y Prueba de Materiales para Terracerías.</w:t>
            </w:r>
          </w:p>
          <w:p w:rsidR="0077639A" w:rsidRPr="005E1944" w:rsidRDefault="0077639A" w:rsidP="0066381C">
            <w:pPr>
              <w:pStyle w:val="texto"/>
              <w:spacing w:before="20" w:after="20" w:line="192" w:lineRule="exact"/>
              <w:ind w:firstLine="0"/>
              <w:rPr>
                <w:szCs w:val="22"/>
                <w:lang w:val="en-US"/>
              </w:rPr>
            </w:pPr>
            <w:r w:rsidRPr="005E1944">
              <w:t>T</w:t>
            </w:r>
            <w:r>
              <w:t>í</w:t>
            </w:r>
            <w:r w:rsidRPr="005E1944">
              <w:t xml:space="preserve">tulo No. </w:t>
            </w:r>
            <w:smartTag w:uri="urn:schemas-microsoft-com:office:smarttags" w:element="metricconverter">
              <w:smartTagPr>
                <w:attr w:name="ProductID" w:val="85 M"/>
              </w:smartTagPr>
              <w:r w:rsidRPr="005E1944">
                <w:t>85 M</w:t>
              </w:r>
            </w:smartTag>
            <w:r w:rsidRPr="005E1944">
              <w:t xml:space="preserve"> 44207. </w:t>
            </w:r>
            <w:r w:rsidRPr="005E1944">
              <w:rPr>
                <w:lang w:val="en-US"/>
              </w:rPr>
              <w:t>5R “Roller Compacted Mass Concrete Reported by</w:t>
            </w:r>
            <w:r>
              <w:rPr>
                <w:lang w:val="en-US"/>
              </w:rPr>
              <w:t xml:space="preserve"> ACI Committee 207 (September-</w:t>
            </w:r>
            <w:r w:rsidRPr="005E1944">
              <w:rPr>
                <w:lang w:val="en-US"/>
              </w:rPr>
              <w:t>October 1988).</w:t>
            </w:r>
          </w:p>
        </w:tc>
      </w:tr>
    </w:tbl>
    <w:p w:rsidR="0077639A" w:rsidRPr="005E1944" w:rsidRDefault="0077639A" w:rsidP="0077639A">
      <w:pPr>
        <w:pStyle w:val="texto"/>
        <w:spacing w:after="0"/>
        <w:rPr>
          <w:szCs w:val="20"/>
          <w:lang w:val="en-US"/>
        </w:rPr>
      </w:pPr>
    </w:p>
    <w:p w:rsidR="0077639A" w:rsidRPr="008851CE" w:rsidRDefault="0077639A" w:rsidP="0077639A">
      <w:pPr>
        <w:pStyle w:val="texto"/>
        <w:spacing w:line="206" w:lineRule="exact"/>
        <w:rPr>
          <w:szCs w:val="20"/>
        </w:rPr>
      </w:pPr>
      <w:r w:rsidRPr="008851CE">
        <w:rPr>
          <w:szCs w:val="20"/>
        </w:rPr>
        <w:t>Atentamente,</w:t>
      </w:r>
    </w:p>
    <w:p w:rsidR="0077639A" w:rsidRDefault="0077639A" w:rsidP="0077639A">
      <w:pPr>
        <w:pStyle w:val="texto"/>
        <w:spacing w:line="206" w:lineRule="exact"/>
        <w:rPr>
          <w:szCs w:val="22"/>
        </w:rPr>
      </w:pPr>
      <w:r w:rsidRPr="005E1944">
        <w:rPr>
          <w:szCs w:val="20"/>
        </w:rPr>
        <w:t>Ciudad de México, a 8 de mayo de 2018</w:t>
      </w:r>
      <w:r>
        <w:rPr>
          <w:szCs w:val="20"/>
        </w:rPr>
        <w:t xml:space="preserve">.- </w:t>
      </w:r>
      <w:r>
        <w:t xml:space="preserve">El </w:t>
      </w:r>
      <w:r w:rsidRPr="005E1944">
        <w:t>Director General de Normas y Secretariado Técnico de la Comisión Nacional</w:t>
      </w:r>
      <w:r>
        <w:t xml:space="preserve"> </w:t>
      </w:r>
      <w:r w:rsidRPr="005E1944">
        <w:t>de Normalización</w:t>
      </w:r>
      <w:r>
        <w:t xml:space="preserve">, </w:t>
      </w:r>
      <w:r w:rsidRPr="005E1944">
        <w:rPr>
          <w:b/>
          <w:szCs w:val="22"/>
        </w:rPr>
        <w:t xml:space="preserve">Alberto Ulises Esteban </w:t>
      </w:r>
      <w:proofErr w:type="gramStart"/>
      <w:r w:rsidRPr="005E1944">
        <w:rPr>
          <w:b/>
          <w:szCs w:val="22"/>
        </w:rPr>
        <w:t>Marina</w:t>
      </w:r>
      <w:r>
        <w:rPr>
          <w:szCs w:val="22"/>
        </w:rPr>
        <w:t>.-</w:t>
      </w:r>
      <w:proofErr w:type="gramEnd"/>
      <w:r>
        <w:rPr>
          <w:szCs w:val="22"/>
        </w:rPr>
        <w:t xml:space="preserve"> Rúbrica.</w:t>
      </w:r>
    </w:p>
    <w:p w:rsidR="00676812" w:rsidRDefault="00676812"/>
    <w:sectPr w:rsidR="00676812" w:rsidSect="003D1C2D">
      <w:headerReference w:type="even" r:id="rId4"/>
      <w:headerReference w:type="default" r:id="rId5"/>
      <w:pgSz w:w="12240" w:h="15840"/>
      <w:pgMar w:top="1152" w:right="1699" w:bottom="1296" w:left="1699" w:header="706" w:footer="706" w:gutter="0"/>
      <w:pgNumType w:start="2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BE" w:rsidRPr="0070644F" w:rsidRDefault="0077639A" w:rsidP="008851CE">
    <w:pPr>
      <w:pStyle w:val="Fechas"/>
      <w:rPr>
        <w:rFonts w:cs="Times New Roman"/>
      </w:rPr>
    </w:pPr>
    <w:r>
      <w:rPr>
        <w:rFonts w:cs="Times New Roman"/>
      </w:rPr>
      <w:t xml:space="preserve"> </w:t>
    </w:r>
    <w:r w:rsidRPr="0070644F">
      <w:rPr>
        <w:rFonts w:cs="Times New Roman"/>
      </w:rPr>
      <w:t xml:space="preserve">     (Primera Sección)</w:t>
    </w:r>
    <w:r w:rsidRPr="0070644F">
      <w:rPr>
        <w:rFonts w:cs="Times New Roman"/>
      </w:rPr>
      <w:tab/>
      <w:t>DIARIO OFIC</w:t>
    </w:r>
    <w:r w:rsidRPr="0070644F">
      <w:rPr>
        <w:rFonts w:cs="Times New Roman"/>
      </w:rPr>
      <w:t>IAL</w:t>
    </w:r>
    <w:r w:rsidRPr="0070644F">
      <w:rPr>
        <w:rFonts w:cs="Times New Roman"/>
      </w:rPr>
      <w:tab/>
    </w:r>
    <w:proofErr w:type="gramStart"/>
    <w:r w:rsidRPr="0070644F">
      <w:rPr>
        <w:rFonts w:cs="Times New Roman"/>
      </w:rPr>
      <w:t>Lunes</w:t>
    </w:r>
    <w:proofErr w:type="gramEnd"/>
    <w:r w:rsidRPr="0070644F">
      <w:rPr>
        <w:rFonts w:cs="Times New Roman"/>
      </w:rPr>
      <w:t xml:space="preserve"> 12 de noviembre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0BE" w:rsidRPr="0070644F" w:rsidRDefault="0077639A" w:rsidP="008851CE">
    <w:pPr>
      <w:pStyle w:val="Fechas"/>
      <w:rPr>
        <w:rFonts w:cs="Times New Roman"/>
      </w:rPr>
    </w:pPr>
    <w:bookmarkStart w:id="1" w:name="_Hlk529774578"/>
    <w:bookmarkStart w:id="2" w:name="_Hlk529774579"/>
    <w:bookmarkStart w:id="3" w:name="_Hlk529774670"/>
    <w:bookmarkStart w:id="4" w:name="_Hlk529774671"/>
    <w:bookmarkStart w:id="5" w:name="_Hlk529774674"/>
    <w:bookmarkStart w:id="6" w:name="_Hlk529774675"/>
    <w:bookmarkStart w:id="7" w:name="_Hlk529774677"/>
    <w:bookmarkStart w:id="8" w:name="_Hlk529774678"/>
    <w:bookmarkStart w:id="9" w:name="_Hlk529774679"/>
    <w:bookmarkStart w:id="10" w:name="_Hlk529774680"/>
    <w:bookmarkStart w:id="11" w:name="_Hlk529774683"/>
    <w:bookmarkStart w:id="12" w:name="_Hlk529774684"/>
    <w:r w:rsidRPr="0070644F">
      <w:rPr>
        <w:rFonts w:cs="Times New Roman"/>
      </w:rPr>
      <w:t>Lunes 12 de noviembre de 2018</w:t>
    </w:r>
    <w:r w:rsidRPr="0070644F">
      <w:rPr>
        <w:rFonts w:cs="Times New Roman"/>
      </w:rPr>
      <w:tab/>
      <w:t>DIARIO OFICIAL</w:t>
    </w:r>
    <w:r w:rsidRPr="0070644F">
      <w:rPr>
        <w:rFonts w:cs="Times New Roman"/>
      </w:rPr>
      <w:tab/>
      <w:t xml:space="preserve">(Primera Sección)     </w:t>
    </w:r>
    <w:bookmarkEnd w:id="1"/>
    <w:bookmarkEnd w:id="2"/>
    <w:bookmarkEnd w:id="3"/>
    <w:bookmarkEnd w:id="4"/>
    <w:bookmarkEnd w:id="5"/>
    <w:bookmarkEnd w:id="6"/>
    <w:bookmarkEnd w:id="7"/>
    <w:bookmarkEnd w:id="8"/>
    <w:bookmarkEnd w:id="9"/>
    <w:bookmarkEnd w:id="10"/>
    <w:bookmarkEnd w:id="11"/>
    <w:bookmarkEnd w:id="1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9A"/>
    <w:rsid w:val="00676812"/>
    <w:rsid w:val="00776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14C1850-C256-449D-9E2E-7114E88D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39A"/>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77639A"/>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77639A"/>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77639A"/>
    <w:pPr>
      <w:pBdr>
        <w:top w:val="double" w:sz="6" w:space="1" w:color="auto"/>
      </w:pBdr>
      <w:snapToGrid/>
      <w:spacing w:line="240" w:lineRule="auto"/>
      <w:ind w:firstLine="0"/>
      <w:outlineLvl w:val="1"/>
    </w:pPr>
    <w:rPr>
      <w:szCs w:val="20"/>
    </w:rPr>
  </w:style>
  <w:style w:type="paragraph" w:customStyle="1" w:styleId="texto">
    <w:name w:val="texto"/>
    <w:basedOn w:val="Normal"/>
    <w:rsid w:val="0077639A"/>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4046</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2018-11-12T14:33:00Z</dcterms:created>
  <dcterms:modified xsi:type="dcterms:W3CDTF">2018-11-12T14:33:00Z</dcterms:modified>
</cp:coreProperties>
</file>